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5C" w:rsidRDefault="008D4EA3" w:rsidP="008D4E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Statement from the Governor’s Office</w:t>
      </w:r>
    </w:p>
    <w:p w:rsidR="008D4EA3" w:rsidRDefault="008D4EA3" w:rsidP="008D4E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62CE" w:rsidRDefault="008D4EA3" w:rsidP="008D4E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Louisiana State Law (R.S. 29:724)</w:t>
      </w:r>
      <w:r w:rsidR="00D462CE">
        <w:rPr>
          <w:rFonts w:ascii="Times New Roman" w:hAnsi="Times New Roman" w:cs="Times New Roman"/>
          <w:sz w:val="24"/>
          <w:szCs w:val="24"/>
        </w:rPr>
        <w:t xml:space="preserve"> gives the Governor authority to set restrictions on gatherings and businesses in the interest of public safety and to prevent spread of COVID-19. These proclamations and declarations have the power of law.</w:t>
      </w:r>
    </w:p>
    <w:p w:rsidR="00D462CE" w:rsidRDefault="00D462CE" w:rsidP="008D4E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such, local, parish, and state law enforcement agencies as well as other state authorities including ATC and the State Fire Marshall, will be acting to enforce these rules set by the Governor.</w:t>
      </w:r>
    </w:p>
    <w:p w:rsidR="008D4EA3" w:rsidRPr="008D4EA3" w:rsidRDefault="00D462CE" w:rsidP="008D4E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Violations of gathering capacity and business hour restrictions may result in revocation of licenses and or citations for Disturbing the Peace or other appropriate violations of law.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D4EA3" w:rsidRPr="008D4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A3"/>
    <w:rsid w:val="001776C5"/>
    <w:rsid w:val="008D4EA3"/>
    <w:rsid w:val="00AC113F"/>
    <w:rsid w:val="00D4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15FF1"/>
  <w15:chartTrackingRefBased/>
  <w15:docId w15:val="{787C7CD2-1BF7-4BCD-9421-969F8359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OHSEP\Clayton.Revere</dc:creator>
  <cp:keywords/>
  <dc:description/>
  <cp:lastModifiedBy>OHSEP\Clayton.Revere</cp:lastModifiedBy>
  <cp:revision>2</cp:revision>
  <dcterms:created xsi:type="dcterms:W3CDTF">2020-03-17T13:22:00Z</dcterms:created>
  <dcterms:modified xsi:type="dcterms:W3CDTF">2020-03-17T13:25:00Z</dcterms:modified>
</cp:coreProperties>
</file>